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CB4A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За период с января по октябрь 2025 года в бюджетную систему Российской Федерации из Карачаево-Черкесии поступило более 27 миллиардов рублей, что составляет 109,3% к уровню прошлого года или более 2 миллиардов рублей больше.</w:t>
      </w:r>
    </w:p>
    <w:p w14:paraId="1E517B5B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Из них более 5 миллиардов рублей было направлено в федеральный бюджет с приростом 12%, свыше 9 миллиардов рублей — во внебюджетные фонды с приростом 16,4%, а более 12 миллиардов рублей — в доходы консолидированного бюджета нашей Республики с ростом 3,3%.</w:t>
      </w:r>
    </w:p>
    <w:p w14:paraId="77331F86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Помимо этого, поступило перераспределяемых доходов порядка 2 миллиардов рублей с ростом 8,5%.</w:t>
      </w:r>
    </w:p>
    <w:p w14:paraId="65E99BE0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Плановые показатели поступлений доходов в бюджетную систему Российской Федерации в размере 28 миллиардов рублей выполнены на 104,1%, более 1 миллиарда рублей больше.</w:t>
      </w:r>
    </w:p>
    <w:p w14:paraId="4FC53DA3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Во внебюджетные фонды в размере свыше 9 миллиардов рублей выполнены на 106,5%.</w:t>
      </w:r>
    </w:p>
    <w:p w14:paraId="3EA2230C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В федеральный бюджет в размере более 4 миллиардов рублей выполнены на 111,3%.</w:t>
      </w:r>
    </w:p>
    <w:p w14:paraId="43813765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Бюджетные назначения консолидированного бюджета Карачаево-Черкесской Республики (с учетом перераспределяемых доходов) в размере более 12 миллиардов рублей выполнены на 100,2%.</w:t>
      </w:r>
    </w:p>
    <w:p w14:paraId="7D550BA0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Очень важную роль в пополнении местных бюджетов играют имущественные налоги.</w:t>
      </w:r>
    </w:p>
    <w:p w14:paraId="25EAE349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В 2025 году физическим лицам было начислено 667 млн 8 тыс. рублей всех видов имущественных налогов. Произошло увеличение исчисленных к уплате сумм налога:</w:t>
      </w:r>
    </w:p>
    <w:p w14:paraId="05B5C41D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- по земельному налогу физических лиц на 14,7%;</w:t>
      </w:r>
    </w:p>
    <w:p w14:paraId="4172E55E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- по налогу на имущество физических лиц на 18,0%;</w:t>
      </w:r>
    </w:p>
    <w:p w14:paraId="7EF994C6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- по транспортному налогу физических лиц на 4,8%.</w:t>
      </w:r>
    </w:p>
    <w:p w14:paraId="0527D85C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В целом по имущественным налогам юридических лиц также произошел рост исчисленных к уплате сумм налогов на 25,3% или на 318 млн 600 тыс. рублей. А именно:</w:t>
      </w:r>
    </w:p>
    <w:p w14:paraId="35E2395E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- по земельному налогу организаций лиц на 56,3%;</w:t>
      </w:r>
    </w:p>
    <w:p w14:paraId="2E785565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- по налогу на имущество организаций на 22,7%;</w:t>
      </w:r>
    </w:p>
    <w:p w14:paraId="34FFF086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- по транспортному налогу организаций лиц на 1,6%.</w:t>
      </w:r>
    </w:p>
    <w:p w14:paraId="2D4E5291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Рост исчисленных к уплате сумм имущественных налогов обусловлен проводимой на постоянной основе работой по актуализации базы данных налоговых органов по имущественным налогам, тесному взаимодействию налоговых и регистрирующих органов по уточнению необходимых для исчисления налогов характеристик объектов и по вовлечению в облагаемый оборот земельных участков, объектов капитального строительства, а также транспортных средств.</w:t>
      </w:r>
    </w:p>
    <w:p w14:paraId="77157F39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Также одним из факторов роста исчисленных к уплате сумм налога явилась переоценка объектов недвижимого имущества, что в свою очередь привело к росту налоговой базы.</w:t>
      </w:r>
    </w:p>
    <w:p w14:paraId="18E4A390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Налоговая служба постоянно старается сделать процессы налогового администрирования максимально комфортными, снижая тем самым барьеры для ведения бизнеса.</w:t>
      </w:r>
    </w:p>
    <w:p w14:paraId="49B3F042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Так, в этом году налогоплательщики, которым была направлена информация по имеющимся у них рискам, в основном уточнили свои обязательства сами без проведения контрольных мероприятий, а именно на сумму 247 млн 900 тыс. рублей.</w:t>
      </w:r>
    </w:p>
    <w:p w14:paraId="77990762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Что касается контрольной работы, она проводится с учётом приоритизации в соответствии с политикой ФНС России. Организовано эффективное планирование выездных налоговых проверок и приоритетная отработка с выгодоприобретателями.</w:t>
      </w:r>
    </w:p>
    <w:p w14:paraId="026B631D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В результате количество выездных налоговых проверок в отчётном периоде 2025 года сократилось на 30%.</w:t>
      </w:r>
    </w:p>
    <w:p w14:paraId="14FBB30A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Дополнительно начислено налогов и других платежей в размере 248 млн 700 тыс. рублей.</w:t>
      </w:r>
    </w:p>
    <w:p w14:paraId="53E05487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Поступило (взыскано) всего 423 млн 100 тыс. рублей, что на 164 млн 400 тыс. рублей или 1,8 раза больше аналогичного периода прошлого года.</w:t>
      </w:r>
    </w:p>
    <w:p w14:paraId="23DD3813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</w:p>
    <w:p w14:paraId="3A92A71C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Уровень результативности выездных проверок в отчетном периоде составляет 100%, что является положительной тенденцией в контрольной работе.</w:t>
      </w:r>
    </w:p>
    <w:p w14:paraId="4A07CA6C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Для полноты уплаты налогов важное значение имеет и соблюдение требований по применению контрольно-кассовой техники.</w:t>
      </w:r>
    </w:p>
    <w:p w14:paraId="4042C0BD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За 10 месяцев 2025 года было дополнительно зарегистрировано 1453 единицы ККТ, и общее её количество составило 5819.</w:t>
      </w:r>
    </w:p>
    <w:p w14:paraId="07C6DFF7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В рамках выездного обследования были выявлены нарушения о применении ККТ, в результате которых проведены контрольные закупки и выявлено 211 нарушений ч.2 ст.14.5 КоАП РФ на общую сумму 2 млн рублей.</w:t>
      </w:r>
      <w:bookmarkStart w:id="0" w:name="_GoBack"/>
      <w:bookmarkEnd w:id="0"/>
    </w:p>
    <w:p w14:paraId="6582D975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Управлением за отчетный период проведено 65 документарных проверок, на основании которых начислены штрафы на общую сумму 7 млн 300 тыс. рублей.</w:t>
      </w:r>
    </w:p>
    <w:p w14:paraId="6FA3E3E7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В соответствии с реализацией в 2025 году отраслевого проекта «Общественное питание», направленного на обеспечение повсеместного применения ККТ и выдачи кассовых чеков налогоплательщиками Карачаево-Черкесской Республики, на 01.10.2025 г. участниками проекта являются 220 точек общественного питания.</w:t>
      </w:r>
    </w:p>
    <w:p w14:paraId="771F88C8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Управление оказывает помощь выхода из кризисной ситуации и погашения задолженности перед бюджетом без ущерба для основной деятельности налогоплательщика. Так, за 10 месяцев 2025 года вынесено 10 решений о предоставлении рассрочки на общую сумму 92 млн 100 тыс. рублей. Из них юридическим лицам на сумму 90 млн рублей; физическим лицам на сумму 2 млн 100 тыс. рублей.</w:t>
      </w:r>
    </w:p>
    <w:p w14:paraId="231D3641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Всем предприятиям, которым оказана помощь в предоставлении рассрочки, удалось сохранить рабочие места, продолжить полноценную хозяйственную деятельность и уплатить 28 млн рублей налогов в бюджет всех уровней после получения рассрочки.</w:t>
      </w:r>
    </w:p>
    <w:p w14:paraId="6F25A47A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Одновременно произошло снижение уровня задолженности по имущественным налогам физических лиц с начала года на 31,3% или 271 млн 9 тыс. рублей.</w:t>
      </w:r>
    </w:p>
    <w:p w14:paraId="6F78F649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Одним из основных достижений является постоянное развитие информационных систем и электронных сервисов ФНС России.</w:t>
      </w:r>
    </w:p>
    <w:p w14:paraId="464452D5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За 10 месяцев 2025 года количество запросов от налогоплательщиков на предоставление информационных услуг в электронном виде составило 99,9% от общего количества.</w:t>
      </w:r>
    </w:p>
    <w:p w14:paraId="10444399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Количество налоговых деклараций (расчетов), бухгалтерской отчетности и иных документов, служащих основанием для исчисления и уплаты налогов в электронном виде составило 95,9% от общего количества зарегистрированных налоговых деклараций.</w:t>
      </w:r>
    </w:p>
    <w:p w14:paraId="3C3900D8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Ежедневно осуществляется регистрация заявлений налогоплательщиков на подключение к интернет-сервису «Личный кабинет налогоплательщика», формирование и выдача налогоплательщику регистрационной карты, за 10 месяцев текущего года зарегистрировано 11236 пользователей, общее количество составляет 99234 пользователей.</w:t>
      </w:r>
    </w:p>
    <w:p w14:paraId="72180C52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На постоянной основе проводится работа по информированию налогоплательщиков как в помещениях для приема и обслуживания налогоплательщиков, так и через СМИ, в социальных сетях, на региональной странице сайта ФНС России.</w:t>
      </w:r>
    </w:p>
    <w:p w14:paraId="54842C8A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Успешные результаты во многом обусловлены новыми тенденциями в деятельности ФНС России, направленными на совершенствование и упрощение налогового администрирования, а также на внедрение инновационных подходов в сфере налогообложения. Эти меры позволяют бизнесу минимизировать расходы, связанные с исчислением и уплатой налогов.</w:t>
      </w:r>
    </w:p>
    <w:p w14:paraId="3F64D2C4">
      <w:pPr>
        <w:pStyle w:val="11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</w:rPr>
        <w:t> </w:t>
      </w:r>
    </w:p>
    <w:p w14:paraId="407603C8">
      <w:pPr>
        <w:pStyle w:val="1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sectPr>
      <w:headerReference r:id="rId3" w:type="default"/>
      <w:pgSz w:w="11906" w:h="16838"/>
      <w:pgMar w:top="1276" w:right="425" w:bottom="425" w:left="1134" w:header="284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Malgun Gothic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2EE13">
    <w:pPr>
      <w:pStyle w:val="7"/>
      <w:jc w:val="right"/>
    </w:pPr>
    <w:r>
      <w:rPr>
        <w:lang w:val="ru-RU" w:eastAsia="ru-RU"/>
      </w:rPr>
      <w:drawing>
        <wp:inline distT="0" distB="0" distL="0" distR="0">
          <wp:extent cx="619125" cy="581025"/>
          <wp:effectExtent l="0" t="0" r="9525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64"/>
    <w:rsid w:val="00001787"/>
    <w:rsid w:val="000029EA"/>
    <w:rsid w:val="00002B26"/>
    <w:rsid w:val="00003540"/>
    <w:rsid w:val="00004A70"/>
    <w:rsid w:val="0000541C"/>
    <w:rsid w:val="00010BE5"/>
    <w:rsid w:val="000253D6"/>
    <w:rsid w:val="0003046C"/>
    <w:rsid w:val="0003101C"/>
    <w:rsid w:val="00034CF7"/>
    <w:rsid w:val="000366CF"/>
    <w:rsid w:val="00040366"/>
    <w:rsid w:val="0005226C"/>
    <w:rsid w:val="00054F50"/>
    <w:rsid w:val="00056B18"/>
    <w:rsid w:val="00060E67"/>
    <w:rsid w:val="00071E7A"/>
    <w:rsid w:val="00074E22"/>
    <w:rsid w:val="0007571C"/>
    <w:rsid w:val="0007646E"/>
    <w:rsid w:val="00086DE8"/>
    <w:rsid w:val="000870C4"/>
    <w:rsid w:val="000940FD"/>
    <w:rsid w:val="000949BA"/>
    <w:rsid w:val="000A76DD"/>
    <w:rsid w:val="000B4D3C"/>
    <w:rsid w:val="000B5808"/>
    <w:rsid w:val="000B5E92"/>
    <w:rsid w:val="000B65E8"/>
    <w:rsid w:val="000B6FA0"/>
    <w:rsid w:val="000C374F"/>
    <w:rsid w:val="000C61C8"/>
    <w:rsid w:val="000C70AB"/>
    <w:rsid w:val="000C7D19"/>
    <w:rsid w:val="000D0B4D"/>
    <w:rsid w:val="000E6AA9"/>
    <w:rsid w:val="000F432F"/>
    <w:rsid w:val="0010006B"/>
    <w:rsid w:val="00107056"/>
    <w:rsid w:val="00110259"/>
    <w:rsid w:val="00110377"/>
    <w:rsid w:val="00122B0E"/>
    <w:rsid w:val="0012703A"/>
    <w:rsid w:val="00127730"/>
    <w:rsid w:val="00143DFE"/>
    <w:rsid w:val="00146AC0"/>
    <w:rsid w:val="001616CE"/>
    <w:rsid w:val="00175319"/>
    <w:rsid w:val="001B0B43"/>
    <w:rsid w:val="001B2657"/>
    <w:rsid w:val="001B401D"/>
    <w:rsid w:val="001B712E"/>
    <w:rsid w:val="001C579C"/>
    <w:rsid w:val="001C7EB1"/>
    <w:rsid w:val="001D5D4F"/>
    <w:rsid w:val="001E7B44"/>
    <w:rsid w:val="001F71C1"/>
    <w:rsid w:val="001F778F"/>
    <w:rsid w:val="002018B3"/>
    <w:rsid w:val="00210980"/>
    <w:rsid w:val="002135D3"/>
    <w:rsid w:val="0022036F"/>
    <w:rsid w:val="00232429"/>
    <w:rsid w:val="002339C4"/>
    <w:rsid w:val="00237808"/>
    <w:rsid w:val="00241AC7"/>
    <w:rsid w:val="00241F3E"/>
    <w:rsid w:val="00257081"/>
    <w:rsid w:val="00260253"/>
    <w:rsid w:val="00273C0D"/>
    <w:rsid w:val="00280117"/>
    <w:rsid w:val="00283300"/>
    <w:rsid w:val="002964A6"/>
    <w:rsid w:val="002977E9"/>
    <w:rsid w:val="002A0D92"/>
    <w:rsid w:val="002A17C6"/>
    <w:rsid w:val="002A1E67"/>
    <w:rsid w:val="002B26E1"/>
    <w:rsid w:val="002B4D88"/>
    <w:rsid w:val="002C2BF4"/>
    <w:rsid w:val="002D61DB"/>
    <w:rsid w:val="002D738F"/>
    <w:rsid w:val="002E6D3F"/>
    <w:rsid w:val="003013EC"/>
    <w:rsid w:val="00302BBA"/>
    <w:rsid w:val="00311F2B"/>
    <w:rsid w:val="003143E2"/>
    <w:rsid w:val="00317BAD"/>
    <w:rsid w:val="003207E8"/>
    <w:rsid w:val="003254F8"/>
    <w:rsid w:val="00332A7B"/>
    <w:rsid w:val="003331E3"/>
    <w:rsid w:val="0034272F"/>
    <w:rsid w:val="00343942"/>
    <w:rsid w:val="00346D47"/>
    <w:rsid w:val="00372998"/>
    <w:rsid w:val="00377BB2"/>
    <w:rsid w:val="0038556F"/>
    <w:rsid w:val="00386754"/>
    <w:rsid w:val="003936ED"/>
    <w:rsid w:val="0039597B"/>
    <w:rsid w:val="00397C91"/>
    <w:rsid w:val="003A5252"/>
    <w:rsid w:val="003B1644"/>
    <w:rsid w:val="003B1DA3"/>
    <w:rsid w:val="003F024A"/>
    <w:rsid w:val="003F3BF2"/>
    <w:rsid w:val="00403699"/>
    <w:rsid w:val="00423C55"/>
    <w:rsid w:val="00430A9A"/>
    <w:rsid w:val="00434712"/>
    <w:rsid w:val="00434C5F"/>
    <w:rsid w:val="004406C7"/>
    <w:rsid w:val="00442EED"/>
    <w:rsid w:val="004448A8"/>
    <w:rsid w:val="0044759C"/>
    <w:rsid w:val="00452276"/>
    <w:rsid w:val="004558C8"/>
    <w:rsid w:val="00456CC2"/>
    <w:rsid w:val="00460784"/>
    <w:rsid w:val="00475CFF"/>
    <w:rsid w:val="00476079"/>
    <w:rsid w:val="00477800"/>
    <w:rsid w:val="004835EC"/>
    <w:rsid w:val="00485FC1"/>
    <w:rsid w:val="00493C28"/>
    <w:rsid w:val="004A20EF"/>
    <w:rsid w:val="004A467B"/>
    <w:rsid w:val="004B182B"/>
    <w:rsid w:val="004B45FF"/>
    <w:rsid w:val="004D5779"/>
    <w:rsid w:val="004D5D89"/>
    <w:rsid w:val="004D7DA7"/>
    <w:rsid w:val="004E13FA"/>
    <w:rsid w:val="004F05CB"/>
    <w:rsid w:val="00500179"/>
    <w:rsid w:val="00512864"/>
    <w:rsid w:val="00521CAE"/>
    <w:rsid w:val="0052381F"/>
    <w:rsid w:val="005242D0"/>
    <w:rsid w:val="00536A48"/>
    <w:rsid w:val="00547991"/>
    <w:rsid w:val="00561FBF"/>
    <w:rsid w:val="00563443"/>
    <w:rsid w:val="00575529"/>
    <w:rsid w:val="005828E2"/>
    <w:rsid w:val="0059651A"/>
    <w:rsid w:val="005A4F2F"/>
    <w:rsid w:val="005A7A12"/>
    <w:rsid w:val="005B169B"/>
    <w:rsid w:val="005B3B23"/>
    <w:rsid w:val="005B5E3D"/>
    <w:rsid w:val="005E0FF2"/>
    <w:rsid w:val="005E1E83"/>
    <w:rsid w:val="005F61F8"/>
    <w:rsid w:val="00613B24"/>
    <w:rsid w:val="00614389"/>
    <w:rsid w:val="00615988"/>
    <w:rsid w:val="00616DC6"/>
    <w:rsid w:val="00644CCB"/>
    <w:rsid w:val="00646B87"/>
    <w:rsid w:val="00653CA6"/>
    <w:rsid w:val="00670B7C"/>
    <w:rsid w:val="00671DB1"/>
    <w:rsid w:val="00683A8E"/>
    <w:rsid w:val="00690B2E"/>
    <w:rsid w:val="00693715"/>
    <w:rsid w:val="0069404A"/>
    <w:rsid w:val="006B733D"/>
    <w:rsid w:val="006C3985"/>
    <w:rsid w:val="006C5852"/>
    <w:rsid w:val="006D4CF4"/>
    <w:rsid w:val="006D5B99"/>
    <w:rsid w:val="006D5CA2"/>
    <w:rsid w:val="006D744D"/>
    <w:rsid w:val="006E421C"/>
    <w:rsid w:val="00701866"/>
    <w:rsid w:val="007111B2"/>
    <w:rsid w:val="00727133"/>
    <w:rsid w:val="0073008E"/>
    <w:rsid w:val="00737B54"/>
    <w:rsid w:val="00750A00"/>
    <w:rsid w:val="00757326"/>
    <w:rsid w:val="0076740E"/>
    <w:rsid w:val="00774034"/>
    <w:rsid w:val="00775CDC"/>
    <w:rsid w:val="007805C8"/>
    <w:rsid w:val="007855FB"/>
    <w:rsid w:val="00785E8B"/>
    <w:rsid w:val="007B5993"/>
    <w:rsid w:val="007C3045"/>
    <w:rsid w:val="007C385F"/>
    <w:rsid w:val="007E5FAD"/>
    <w:rsid w:val="00810566"/>
    <w:rsid w:val="008114C4"/>
    <w:rsid w:val="00832D4D"/>
    <w:rsid w:val="00842B1A"/>
    <w:rsid w:val="0084402A"/>
    <w:rsid w:val="00846065"/>
    <w:rsid w:val="0085485C"/>
    <w:rsid w:val="008558EF"/>
    <w:rsid w:val="008561FB"/>
    <w:rsid w:val="00856911"/>
    <w:rsid w:val="00874D67"/>
    <w:rsid w:val="008A2866"/>
    <w:rsid w:val="008C3F66"/>
    <w:rsid w:val="008C7210"/>
    <w:rsid w:val="008E202E"/>
    <w:rsid w:val="008E39F0"/>
    <w:rsid w:val="008E463E"/>
    <w:rsid w:val="008E5818"/>
    <w:rsid w:val="008F0260"/>
    <w:rsid w:val="008F0AB2"/>
    <w:rsid w:val="009128DA"/>
    <w:rsid w:val="00913F46"/>
    <w:rsid w:val="009214E6"/>
    <w:rsid w:val="0093328C"/>
    <w:rsid w:val="0094132C"/>
    <w:rsid w:val="009457BF"/>
    <w:rsid w:val="0095370C"/>
    <w:rsid w:val="00962A8E"/>
    <w:rsid w:val="00975939"/>
    <w:rsid w:val="00985BA8"/>
    <w:rsid w:val="00990F36"/>
    <w:rsid w:val="009A1512"/>
    <w:rsid w:val="009A22C6"/>
    <w:rsid w:val="009A37CB"/>
    <w:rsid w:val="009A47D6"/>
    <w:rsid w:val="009B699D"/>
    <w:rsid w:val="009B7970"/>
    <w:rsid w:val="009F3E3B"/>
    <w:rsid w:val="00A11C87"/>
    <w:rsid w:val="00A11D46"/>
    <w:rsid w:val="00A22864"/>
    <w:rsid w:val="00A43B0E"/>
    <w:rsid w:val="00A43DE7"/>
    <w:rsid w:val="00A62B01"/>
    <w:rsid w:val="00A701B6"/>
    <w:rsid w:val="00A71F18"/>
    <w:rsid w:val="00A7594F"/>
    <w:rsid w:val="00A812D0"/>
    <w:rsid w:val="00A8655F"/>
    <w:rsid w:val="00A90640"/>
    <w:rsid w:val="00A933E4"/>
    <w:rsid w:val="00A93EB3"/>
    <w:rsid w:val="00A94B36"/>
    <w:rsid w:val="00AB402D"/>
    <w:rsid w:val="00AB53E6"/>
    <w:rsid w:val="00AC3405"/>
    <w:rsid w:val="00AE4BD3"/>
    <w:rsid w:val="00AF62B4"/>
    <w:rsid w:val="00B03468"/>
    <w:rsid w:val="00B05E0E"/>
    <w:rsid w:val="00B072CF"/>
    <w:rsid w:val="00B1093D"/>
    <w:rsid w:val="00B115F0"/>
    <w:rsid w:val="00B248B1"/>
    <w:rsid w:val="00B3084E"/>
    <w:rsid w:val="00B33A81"/>
    <w:rsid w:val="00B41446"/>
    <w:rsid w:val="00B41F2A"/>
    <w:rsid w:val="00B426C1"/>
    <w:rsid w:val="00B42A97"/>
    <w:rsid w:val="00B447AB"/>
    <w:rsid w:val="00B46BDF"/>
    <w:rsid w:val="00B47D50"/>
    <w:rsid w:val="00B5005A"/>
    <w:rsid w:val="00B6047F"/>
    <w:rsid w:val="00B63FD1"/>
    <w:rsid w:val="00B7057F"/>
    <w:rsid w:val="00B73FCB"/>
    <w:rsid w:val="00B75DD8"/>
    <w:rsid w:val="00B87D73"/>
    <w:rsid w:val="00B928A7"/>
    <w:rsid w:val="00B9388F"/>
    <w:rsid w:val="00BA1D32"/>
    <w:rsid w:val="00BA4939"/>
    <w:rsid w:val="00BC281D"/>
    <w:rsid w:val="00BC55CF"/>
    <w:rsid w:val="00BD08EE"/>
    <w:rsid w:val="00BD580B"/>
    <w:rsid w:val="00BE36B4"/>
    <w:rsid w:val="00BE6264"/>
    <w:rsid w:val="00BF5B9E"/>
    <w:rsid w:val="00C0307A"/>
    <w:rsid w:val="00C04003"/>
    <w:rsid w:val="00C1430E"/>
    <w:rsid w:val="00C2356E"/>
    <w:rsid w:val="00C25225"/>
    <w:rsid w:val="00C36AF3"/>
    <w:rsid w:val="00C37880"/>
    <w:rsid w:val="00C378B5"/>
    <w:rsid w:val="00C423CE"/>
    <w:rsid w:val="00C4733F"/>
    <w:rsid w:val="00C60416"/>
    <w:rsid w:val="00C624CC"/>
    <w:rsid w:val="00C63C0E"/>
    <w:rsid w:val="00C63CF3"/>
    <w:rsid w:val="00C64CDA"/>
    <w:rsid w:val="00C70DAC"/>
    <w:rsid w:val="00C768D5"/>
    <w:rsid w:val="00C770E7"/>
    <w:rsid w:val="00C83BE7"/>
    <w:rsid w:val="00C851A4"/>
    <w:rsid w:val="00C90B1A"/>
    <w:rsid w:val="00C91430"/>
    <w:rsid w:val="00C97AA3"/>
    <w:rsid w:val="00CA0857"/>
    <w:rsid w:val="00CC5958"/>
    <w:rsid w:val="00CC5B47"/>
    <w:rsid w:val="00CC63DB"/>
    <w:rsid w:val="00CC7B18"/>
    <w:rsid w:val="00CD5B41"/>
    <w:rsid w:val="00CE4682"/>
    <w:rsid w:val="00CF0933"/>
    <w:rsid w:val="00CF7F6F"/>
    <w:rsid w:val="00D2345E"/>
    <w:rsid w:val="00D260C7"/>
    <w:rsid w:val="00D26A12"/>
    <w:rsid w:val="00D3181E"/>
    <w:rsid w:val="00D37548"/>
    <w:rsid w:val="00D51431"/>
    <w:rsid w:val="00D51FC2"/>
    <w:rsid w:val="00D57412"/>
    <w:rsid w:val="00D628D6"/>
    <w:rsid w:val="00D72F3D"/>
    <w:rsid w:val="00D82598"/>
    <w:rsid w:val="00D870DC"/>
    <w:rsid w:val="00DB03A3"/>
    <w:rsid w:val="00DD0ADC"/>
    <w:rsid w:val="00DD5F4F"/>
    <w:rsid w:val="00DF01E3"/>
    <w:rsid w:val="00DF04E4"/>
    <w:rsid w:val="00E02A4A"/>
    <w:rsid w:val="00E2437A"/>
    <w:rsid w:val="00E25948"/>
    <w:rsid w:val="00E25BD6"/>
    <w:rsid w:val="00E25FE6"/>
    <w:rsid w:val="00E261FE"/>
    <w:rsid w:val="00E4672A"/>
    <w:rsid w:val="00E51B48"/>
    <w:rsid w:val="00E646A5"/>
    <w:rsid w:val="00E864F1"/>
    <w:rsid w:val="00E92476"/>
    <w:rsid w:val="00EA36A1"/>
    <w:rsid w:val="00EB598F"/>
    <w:rsid w:val="00EB6EEF"/>
    <w:rsid w:val="00ED328D"/>
    <w:rsid w:val="00ED3B27"/>
    <w:rsid w:val="00ED5552"/>
    <w:rsid w:val="00EE01E7"/>
    <w:rsid w:val="00EF730D"/>
    <w:rsid w:val="00F33B0C"/>
    <w:rsid w:val="00F40BD5"/>
    <w:rsid w:val="00F44B97"/>
    <w:rsid w:val="00F512D7"/>
    <w:rsid w:val="00F52B2F"/>
    <w:rsid w:val="00F53C7D"/>
    <w:rsid w:val="00F555E1"/>
    <w:rsid w:val="00F67696"/>
    <w:rsid w:val="00F67A06"/>
    <w:rsid w:val="00F717C2"/>
    <w:rsid w:val="00F86578"/>
    <w:rsid w:val="00F93849"/>
    <w:rsid w:val="00F95078"/>
    <w:rsid w:val="00FA7B38"/>
    <w:rsid w:val="00FC30E1"/>
    <w:rsid w:val="00FF133E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i/>
      <w:iCs/>
    </w:rPr>
  </w:style>
  <w:style w:type="character" w:styleId="5">
    <w:name w:val="Hyperlink"/>
    <w:uiPriority w:val="0"/>
    <w:rPr>
      <w:u w:val="single"/>
    </w:rPr>
  </w:style>
  <w:style w:type="paragraph" w:styleId="6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7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Body Text Indent"/>
    <w:basedOn w:val="1"/>
    <w:link w:val="20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748"/>
      <w:jc w:val="both"/>
    </w:pPr>
    <w:rPr>
      <w:sz w:val="28"/>
      <w:lang w:val="ru-RU" w:eastAsia="ru-RU"/>
    </w:rPr>
  </w:style>
  <w:style w:type="paragraph" w:styleId="9">
    <w:name w:val="Title"/>
    <w:basedOn w:val="1"/>
    <w:link w:val="19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00" w:lineRule="atLeast"/>
      <w:ind w:firstLine="720"/>
      <w:jc w:val="center"/>
    </w:pPr>
    <w:rPr>
      <w:rFonts w:eastAsia="Times New Roman"/>
      <w:b/>
      <w:bCs/>
      <w:color w:val="FF0000"/>
      <w:sz w:val="28"/>
      <w:szCs w:val="28"/>
      <w:lang w:val="ru-RU"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rFonts w:eastAsia="Times New Roman"/>
      <w:lang w:val="ru-RU" w:eastAsia="ru-RU"/>
    </w:rPr>
  </w:style>
  <w:style w:type="table" w:styleId="12">
    <w:name w:val="Table Grid"/>
    <w:basedOn w:val="3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По умолчанию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/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character" w:customStyle="1" w:styleId="15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  <w:lang w:val="en-US" w:eastAsia="en-US"/>
    </w:rPr>
  </w:style>
  <w:style w:type="paragraph" w:styleId="16">
    <w:name w:val="No Spacing"/>
    <w:qFormat/>
    <w:uiPriority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7">
    <w:name w:val="Верхний колонтитул Знак"/>
    <w:basedOn w:val="2"/>
    <w:link w:val="7"/>
    <w:qFormat/>
    <w:uiPriority w:val="99"/>
    <w:rPr>
      <w:sz w:val="24"/>
      <w:szCs w:val="24"/>
      <w:lang w:val="en-US" w:eastAsia="en-US"/>
    </w:rPr>
  </w:style>
  <w:style w:type="character" w:customStyle="1" w:styleId="18">
    <w:name w:val="Нижний колонтитул Знак"/>
    <w:basedOn w:val="2"/>
    <w:link w:val="10"/>
    <w:uiPriority w:val="99"/>
    <w:rPr>
      <w:sz w:val="24"/>
      <w:szCs w:val="24"/>
      <w:lang w:val="en-US" w:eastAsia="en-US"/>
    </w:rPr>
  </w:style>
  <w:style w:type="character" w:customStyle="1" w:styleId="19">
    <w:name w:val="Название Знак1"/>
    <w:basedOn w:val="2"/>
    <w:link w:val="9"/>
    <w:uiPriority w:val="0"/>
    <w:rPr>
      <w:rFonts w:eastAsia="Times New Roman"/>
      <w:b/>
      <w:bCs/>
      <w:color w:val="FF0000"/>
      <w:sz w:val="28"/>
      <w:szCs w:val="28"/>
    </w:rPr>
  </w:style>
  <w:style w:type="character" w:customStyle="1" w:styleId="20">
    <w:name w:val="Основной текст с отступом Знак"/>
    <w:link w:val="8"/>
    <w:locked/>
    <w:uiPriority w:val="0"/>
    <w:rPr>
      <w:sz w:val="28"/>
      <w:szCs w:val="24"/>
    </w:rPr>
  </w:style>
  <w:style w:type="character" w:customStyle="1" w:styleId="21">
    <w:name w:val="Основной текст с отступом Знак1"/>
    <w:basedOn w:val="2"/>
    <w:semiHidden/>
    <w:qFormat/>
    <w:uiPriority w:val="99"/>
    <w:rPr>
      <w:sz w:val="24"/>
      <w:szCs w:val="24"/>
      <w:lang w:val="en-US" w:eastAsia="en-US"/>
    </w:rPr>
  </w:style>
  <w:style w:type="paragraph" w:customStyle="1" w:styleId="22">
    <w:name w:val="_Style 20"/>
    <w:basedOn w:val="1"/>
    <w:next w:val="9"/>
    <w:link w:val="2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00" w:lineRule="atLeast"/>
      <w:ind w:firstLine="720"/>
      <w:jc w:val="center"/>
    </w:pPr>
    <w:rPr>
      <w:b/>
      <w:bCs/>
      <w:color w:val="FF0000"/>
      <w:sz w:val="28"/>
      <w:szCs w:val="28"/>
      <w:lang w:val="ru-RU" w:eastAsia="ru-RU"/>
    </w:rPr>
  </w:style>
  <w:style w:type="character" w:customStyle="1" w:styleId="23">
    <w:name w:val="Название Знак"/>
    <w:link w:val="22"/>
    <w:qFormat/>
    <w:locked/>
    <w:uiPriority w:val="0"/>
    <w:rPr>
      <w:b/>
      <w:bCs/>
      <w:color w:val="FF0000"/>
      <w:sz w:val="28"/>
      <w:szCs w:val="28"/>
      <w:lang w:val="ru-RU" w:eastAsia="ru-RU" w:bidi="ar-SA"/>
    </w:rPr>
  </w:style>
  <w:style w:type="paragraph" w:styleId="24">
    <w:name w:val="List Paragraph"/>
    <w:basedOn w:val="1"/>
    <w:link w:val="25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zh-CN"/>
    </w:rPr>
  </w:style>
  <w:style w:type="character" w:customStyle="1" w:styleId="25">
    <w:name w:val="Абзац списка Знак"/>
    <w:link w:val="24"/>
    <w:qFormat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26">
    <w:name w:val="Знак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40" w:lineRule="exact"/>
    </w:pPr>
    <w:rPr>
      <w:rFonts w:eastAsia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9B1E-E7D2-4C9D-AB47-8C26AFEC9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1204</Words>
  <Characters>6868</Characters>
  <Lines>57</Lines>
  <Paragraphs>16</Paragraphs>
  <TotalTime>14</TotalTime>
  <ScaleCrop>false</ScaleCrop>
  <LinksUpToDate>false</LinksUpToDate>
  <CharactersWithSpaces>8056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2025-11-27T08:15:00Z</dcterms:created>
  <dc:creator>Дурнова Анна Михайловна</dc:creator>
  <cp:lastModifiedBy>tauyuy bbnjj</cp:lastModifiedBy>
  <cp:lastPrinted>2025-11-25T10:25:00Z</cp:lastPrinted>
  <dcterms:modified xsi:type="dcterms:W3CDTF">2025-11-28T14:13:42Z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4F0F6F75FFC14DFC8BA48600E924ECFD_12</vt:lpwstr>
  </property>
</Properties>
</file>